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3B196" w14:textId="5A15F670" w:rsidR="00F340ED" w:rsidRDefault="00F340ED" w:rsidP="00F340E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30416" wp14:editId="07B32EDB">
                <wp:simplePos x="0" y="0"/>
                <wp:positionH relativeFrom="column">
                  <wp:posOffset>1638300</wp:posOffset>
                </wp:positionH>
                <wp:positionV relativeFrom="paragraph">
                  <wp:posOffset>0</wp:posOffset>
                </wp:positionV>
                <wp:extent cx="1828800" cy="533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2EEE6B" w14:textId="77777777" w:rsidR="00F340ED" w:rsidRPr="00F340ED" w:rsidRDefault="00F340ED" w:rsidP="00F340ED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340ED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Alberta Oil Sands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304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9pt;margin-top:0;width:2in;height:4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d2oQIAAD0FAAAOAAAAZHJzL2Uyb0RvYy54bWysVMtu2zAQvBfoPxC8N/IzcYXIgZvUbYE0&#10;CRoXOdMUZRGQSIKkbSVf31lJdty0p6I+0Mvd1exrlpdXTV2xnfJBW5Px4dmAM2WkzbXZZPznavlh&#10;xlmIwuSiskZl/FkFfjV//+5y71I1sqWtcuUZQExI9y7jZYwuTZIgS1WLcGadMjAW1tci4uo3Se7F&#10;Huh1lYwGg/Nkb33uvJUqBGhvOiOft/hFoWS8L4qgIqsyjtxie/r2XNOZzC9FuvHClVr2aYh/yKIW&#10;2iDoEepGRMG2Xv8BVWvpbbBFPJO2TmxRaKnaGlDNcPCmmsdSONXWguYEd2xT+H+w8m734JnOMTvO&#10;jKgxopVqIvtkGzak7uxdSOH06OAWG6jJs9cHKKnopvA1/aMcBjv6/HzsLYFJ+mg2ms0GMEnYpuPx&#10;BDJgktevnQ/xi7I1IyHjHrNrWyp2tyF2rgcXCmbsUlcV9CKtzG8KYHYa1RKg/5oK6RImKTbrpq9i&#10;bfNnFOdtR47g5FIjg1sR4oPwYAOSBsPjPY6isvuM217irLT+5W968seQYOVsD3Zl3ID+nFXfDIb3&#10;cTiZEBnby2R6McLFn1rWpxazra8t6IsBIbdWJP9YHcTC2/oJa7CgmDAJIxE54/EgXseO8VgjqRaL&#10;1gn0cyLemkcnCZoaSN1dNU/Cu34EEcO7swcWivTNJDrfrvWLbbSFpjGJNEhl1DgnUYJRXvRw1sfS&#10;9ru29NbEbvsqvSnjD71hXuPNoN3gLNdt/gSBubBKdJXhDWmT92qHpKfnA/r1NDrAtJw6SSG4cc5Q&#10;iN/SG/UV5LsYTtElqva7iMprgeZS2M/5hrZNpGu1U9WKYdKjKfGUlRkfz4bHUASJMMSjjjz9BTva&#10;Ru9rpEfg9N56vb56818AAAD//wMAUEsDBBQABgAIAAAAIQAi1fJ54AAAAAcBAAAPAAAAZHJzL2Rv&#10;d25yZXYueG1sTI9BT8MwDIXvSPyHyEhcEEtXtqkqdScEggvTENsOHNMmtIXGqZKsK/x6zAku1rOe&#10;9d7nYj3ZXozGh84RwnyWgDBUO91Rg3DYP15nIEJUpFXvyCB8mQDr8vysULl2J3o14y42gkMo5Aqh&#10;jXHIpQx1a6wKMzcYYu/deasir76R2qsTh9tepkmyklZ1xA2tGsx9a+rP3dEifL/4jUvTzdO8ervp&#10;xvhw9bF93iJeXkx3tyCimeLfMfziMzqUzFS5I+kgeoR0mfEvEYEn28vFikWFkC0SkGUh//OXPwAA&#10;AP//AwBQSwECLQAUAAYACAAAACEAtoM4kv4AAADhAQAAEwAAAAAAAAAAAAAAAAAAAAAAW0NvbnRl&#10;bnRfVHlwZXNdLnhtbFBLAQItABQABgAIAAAAIQA4/SH/1gAAAJQBAAALAAAAAAAAAAAAAAAAAC8B&#10;AABfcmVscy8ucmVsc1BLAQItABQABgAIAAAAIQDZJjd2oQIAAD0FAAAOAAAAAAAAAAAAAAAAAC4C&#10;AABkcnMvZTJvRG9jLnhtbFBLAQItABQABgAIAAAAIQAi1fJ54AAAAAcBAAAPAAAAAAAAAAAAAAAA&#10;APsEAABkcnMvZG93bnJldi54bWxQSwUGAAAAAAQABADzAAAACAYAAAAA&#10;" filled="f" stroked="f">
                <v:fill o:detectmouseclick="t"/>
                <v:textbox>
                  <w:txbxContent>
                    <w:p w14:paraId="072EEE6B" w14:textId="77777777" w:rsidR="00F340ED" w:rsidRPr="00F340ED" w:rsidRDefault="00F340ED" w:rsidP="00F340ED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340ED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Alberta Oil Sands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709F89" w14:textId="27F2EF38" w:rsidR="00F340ED" w:rsidRPr="006A2531" w:rsidRDefault="00F340ED" w:rsidP="00E02226">
      <w:pPr>
        <w:tabs>
          <w:tab w:val="center" w:pos="787"/>
        </w:tabs>
        <w:rPr>
          <w:sz w:val="18"/>
          <w:szCs w:val="18"/>
        </w:rPr>
      </w:pPr>
      <w:r w:rsidRPr="006A2531">
        <w:rPr>
          <w:noProof/>
          <w:sz w:val="18"/>
          <w:szCs w:val="18"/>
          <w:lang w:eastAsia="en-CA"/>
        </w:rPr>
        <w:drawing>
          <wp:anchor distT="0" distB="0" distL="114300" distR="114300" simplePos="0" relativeHeight="251660288" behindDoc="1" locked="0" layoutInCell="1" allowOverlap="1" wp14:anchorId="797D6EFA" wp14:editId="65B5DA81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2822575" cy="3105150"/>
            <wp:effectExtent l="0" t="0" r="0" b="0"/>
            <wp:wrapSquare wrapText="bothSides"/>
            <wp:docPr id="2" name="Picture 2" descr="http://oilsands.alberta.ca/images/Alberta_Map_Showing_Oil_Sands_Reg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ilsands.alberta.ca/images/Alberta_Map_Showing_Oil_Sands_Regio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0F4AB" w14:textId="1E84A4E5" w:rsidR="00E859AF" w:rsidRDefault="00E859AF" w:rsidP="00F340ED"/>
    <w:p w14:paraId="18300C3E" w14:textId="7A112B75" w:rsidR="00F340ED" w:rsidRDefault="00F340ED" w:rsidP="00F340ED">
      <w:r>
        <w:t xml:space="preserve">The Alberta oil sands (also known as the Athabasca oil sands or Athabasca tar sands) are large deposits of </w:t>
      </w:r>
      <w:r w:rsidRPr="00B85B79">
        <w:rPr>
          <w:b/>
        </w:rPr>
        <w:t>bitumen</w:t>
      </w:r>
      <w:r>
        <w:t xml:space="preserve"> (extremely heavy crude oil) located in the northeastern area of Alberta. </w:t>
      </w:r>
      <w:r w:rsidR="00D8030B">
        <w:t>These oil sands consist of a mixture of crude bitumen, silica, sand, clay minerals, and water</w:t>
      </w:r>
      <w:r w:rsidR="00CF7605">
        <w:t>, with t</w:t>
      </w:r>
      <w:r w:rsidR="00D8030B">
        <w:t xml:space="preserve">he bitumen in the form of a semi-solid rock of crude oil. </w:t>
      </w:r>
      <w:r w:rsidR="00EF56FD">
        <w:t xml:space="preserve">This area is the largest known reservoir </w:t>
      </w:r>
      <w:r w:rsidR="006807B3">
        <w:t xml:space="preserve">of crude bitumen in the world, containing approximately 1.7 trillion barrels. </w:t>
      </w:r>
    </w:p>
    <w:p w14:paraId="4E8ACD90" w14:textId="3A4006AB" w:rsidR="000912FE" w:rsidRDefault="006807B3" w:rsidP="00F340ED">
      <w:r>
        <w:t xml:space="preserve">The oil sands lie beneath a 141, 000 square kilometer of boreal forest and muskeg (peat moss). </w:t>
      </w:r>
    </w:p>
    <w:p w14:paraId="54CD62E1" w14:textId="7F2999BE" w:rsidR="00D82DF6" w:rsidRDefault="000912FE" w:rsidP="00F340ED">
      <w:r>
        <w:t xml:space="preserve">Two extraction methods are used to obtain this bitumen, with both having different positive and negative impacts on the </w:t>
      </w:r>
      <w:r w:rsidR="00A95CA3">
        <w:t>environment:</w:t>
      </w:r>
    </w:p>
    <w:p w14:paraId="39497D46" w14:textId="77777777" w:rsidR="00D82DF6" w:rsidRDefault="00D82DF6" w:rsidP="00F340ED">
      <w:pPr>
        <w:sectPr w:rsidR="00D82DF6" w:rsidSect="00AC2B49">
          <w:foot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C8C6FC4" w14:textId="4E2B50EF" w:rsidR="006A2531" w:rsidRPr="009D1CA7" w:rsidRDefault="009D1CA7" w:rsidP="00F340ED">
      <w:pPr>
        <w:rPr>
          <w:sz w:val="18"/>
          <w:szCs w:val="18"/>
        </w:rPr>
      </w:pPr>
      <w:r w:rsidRPr="009D1CA7">
        <w:rPr>
          <w:sz w:val="18"/>
          <w:szCs w:val="18"/>
        </w:rPr>
        <w:lastRenderedPageBreak/>
        <w:t>Fig 1</w:t>
      </w:r>
    </w:p>
    <w:p w14:paraId="6CF2BB24" w14:textId="77777777" w:rsidR="00E859AF" w:rsidRDefault="00E859AF" w:rsidP="00F340ED">
      <w:pPr>
        <w:rPr>
          <w:b/>
        </w:rPr>
      </w:pPr>
    </w:p>
    <w:p w14:paraId="471680DB" w14:textId="0AFF09D1" w:rsidR="00D82DF6" w:rsidRDefault="00D82DF6" w:rsidP="00F340ED">
      <w:pPr>
        <w:rPr>
          <w:b/>
        </w:rPr>
      </w:pPr>
      <w:r>
        <w:rPr>
          <w:b/>
        </w:rPr>
        <w:t>In Situ Extraction</w:t>
      </w:r>
    </w:p>
    <w:p w14:paraId="60D4D83F" w14:textId="7ED8FDC7" w:rsidR="007F6C9F" w:rsidRDefault="00D82DF6" w:rsidP="00F340ED">
      <w:r>
        <w:t xml:space="preserve">Utilized when the bitumen occurs deeper within the ground, which accounts for 80% of </w:t>
      </w:r>
      <w:r w:rsidR="007F6C9F">
        <w:t>the harvestable bitumen in the oil sands</w:t>
      </w:r>
    </w:p>
    <w:p w14:paraId="692A8082" w14:textId="716DE9E0" w:rsidR="006807B3" w:rsidRDefault="006A2531" w:rsidP="00F340ED"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3BE21266" wp14:editId="7F4999E9">
            <wp:simplePos x="0" y="0"/>
            <wp:positionH relativeFrom="margin">
              <wp:align>left</wp:align>
            </wp:positionH>
            <wp:positionV relativeFrom="paragraph">
              <wp:posOffset>361315</wp:posOffset>
            </wp:positionV>
            <wp:extent cx="3020665" cy="1838325"/>
            <wp:effectExtent l="0" t="0" r="8890" b="0"/>
            <wp:wrapNone/>
            <wp:docPr id="3" name="Picture 3" descr="http://pgc.lyellcollection.org/content/7/1141/F4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gc.lyellcollection.org/content/7/1141/F4.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6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C9F">
        <w:t>Utilizes a steam-assisted gravity drainage</w:t>
      </w:r>
      <w:r w:rsidR="0051177A">
        <w:t xml:space="preserve"> (SAGD) to extract the bitumen</w:t>
      </w:r>
      <w:r w:rsidR="006807B3">
        <w:t xml:space="preserve"> </w:t>
      </w:r>
    </w:p>
    <w:p w14:paraId="13768A13" w14:textId="7DF9C0FF" w:rsidR="0051177A" w:rsidRDefault="0051177A" w:rsidP="00F340ED"/>
    <w:p w14:paraId="52CD68EB" w14:textId="77777777" w:rsidR="0051177A" w:rsidRDefault="0051177A" w:rsidP="00F340ED"/>
    <w:p w14:paraId="18A1151B" w14:textId="77777777" w:rsidR="0042108C" w:rsidRDefault="0042108C" w:rsidP="00F340ED">
      <w:pPr>
        <w:rPr>
          <w:b/>
        </w:rPr>
      </w:pPr>
    </w:p>
    <w:p w14:paraId="3AF89C4D" w14:textId="76B37A95" w:rsidR="0051177A" w:rsidRDefault="0051177A" w:rsidP="00F340ED">
      <w:pPr>
        <w:rPr>
          <w:b/>
        </w:rPr>
      </w:pPr>
      <w:r>
        <w:rPr>
          <w:b/>
        </w:rPr>
        <w:t>Surface / Open Pit Mining</w:t>
      </w:r>
    </w:p>
    <w:p w14:paraId="56BDBF14" w14:textId="7A13B1F4" w:rsidR="0051177A" w:rsidRDefault="00DF7F88" w:rsidP="00F340ED">
      <w:r>
        <w:t>Used when the bitumen is located close to the surface, which accounts for only 20% of the harvestable bitumen.</w:t>
      </w:r>
    </w:p>
    <w:p w14:paraId="4B759CF8" w14:textId="046FF7C3" w:rsidR="00DF7F88" w:rsidRDefault="00DF7F88" w:rsidP="00F340ED">
      <w:r>
        <w:t xml:space="preserve">Characterized by large scale excavation of the land with huge hydraulic power shovels and 400-ton heavy hauler trucks. </w:t>
      </w:r>
    </w:p>
    <w:p w14:paraId="787E81C9" w14:textId="422589C6" w:rsidR="00515ABB" w:rsidRDefault="00515ABB" w:rsidP="00F340ED">
      <w:r>
        <w:t xml:space="preserve">This method leaves behind toxic tailings ponds. </w:t>
      </w:r>
    </w:p>
    <w:p w14:paraId="5534E167" w14:textId="77777777" w:rsidR="0042108C" w:rsidRDefault="0042108C" w:rsidP="00F340ED">
      <w:pPr>
        <w:sectPr w:rsidR="0042108C" w:rsidSect="00D82DF6">
          <w:type w:val="continuous"/>
          <w:pgSz w:w="12240" w:h="15840"/>
          <w:pgMar w:top="1440" w:right="1440" w:bottom="1440" w:left="1440" w:header="708" w:footer="708" w:gutter="0"/>
          <w:cols w:num="2" w:space="284"/>
          <w:docGrid w:linePitch="360"/>
        </w:sectPr>
      </w:pPr>
    </w:p>
    <w:p w14:paraId="7AF934CB" w14:textId="7BAAE727" w:rsidR="0042108C" w:rsidRPr="00F340ED" w:rsidRDefault="0042108C" w:rsidP="00F340ED"/>
    <w:p w14:paraId="06525C67" w14:textId="77777777" w:rsidR="00F340ED" w:rsidRPr="00F340ED" w:rsidRDefault="00F340ED" w:rsidP="00F340ED"/>
    <w:p w14:paraId="20AF7F89" w14:textId="5536F619" w:rsidR="00F340ED" w:rsidRDefault="007A6683" w:rsidP="007A6683">
      <w:pPr>
        <w:tabs>
          <w:tab w:val="left" w:pos="4185"/>
        </w:tabs>
        <w:rPr>
          <w:sz w:val="18"/>
          <w:szCs w:val="18"/>
        </w:rPr>
      </w:pPr>
      <w:r>
        <w:tab/>
      </w:r>
    </w:p>
    <w:p w14:paraId="04F5C642" w14:textId="77777777" w:rsidR="007A6683" w:rsidRDefault="007A6683" w:rsidP="007A6683">
      <w:pPr>
        <w:tabs>
          <w:tab w:val="left" w:pos="4185"/>
        </w:tabs>
        <w:rPr>
          <w:sz w:val="18"/>
          <w:szCs w:val="18"/>
        </w:rPr>
      </w:pPr>
    </w:p>
    <w:p w14:paraId="55FE537F" w14:textId="2B798F0C" w:rsidR="007A6683" w:rsidRDefault="007A6683" w:rsidP="007A6683">
      <w:pPr>
        <w:tabs>
          <w:tab w:val="left" w:pos="418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7A6683">
        <w:rPr>
          <w:sz w:val="18"/>
          <w:szCs w:val="18"/>
        </w:rPr>
        <w:t>Fig 2</w:t>
      </w:r>
    </w:p>
    <w:p w14:paraId="1369DFEC" w14:textId="717B5263" w:rsidR="004C6E40" w:rsidRDefault="005B1192" w:rsidP="00E02226">
      <w:pPr>
        <w:tabs>
          <w:tab w:val="left" w:pos="975"/>
        </w:tabs>
      </w:pPr>
      <w:r>
        <w:t>The oil first began being harvested by the Great Canadian Oil Sands plant in 1967</w:t>
      </w:r>
      <w:r w:rsidR="00713577">
        <w:t xml:space="preserve">, in Fort McMurray. </w:t>
      </w:r>
      <w:r w:rsidR="00203E05">
        <w:t xml:space="preserve">The plant cost $240 million (USD) to create, with a capacity of producing 45,000 barrels per day (bpd). </w:t>
      </w:r>
    </w:p>
    <w:p w14:paraId="2F7E047A" w14:textId="6183A7CF" w:rsidR="000804EA" w:rsidRPr="00E02226" w:rsidRDefault="003949FB" w:rsidP="00E02226">
      <w:pPr>
        <w:tabs>
          <w:tab w:val="left" w:pos="975"/>
        </w:tabs>
      </w:pPr>
      <w:r>
        <w:t>The Albert</w:t>
      </w:r>
      <w:r w:rsidR="00197A94">
        <w:t>a</w:t>
      </w:r>
      <w:r>
        <w:t xml:space="preserve"> oil sands </w:t>
      </w:r>
      <w:r w:rsidR="0067113A">
        <w:t>have many critics, because of the number of environmental impacts that are created</w:t>
      </w:r>
      <w:r w:rsidR="004210D7">
        <w:t xml:space="preserve"> by the mining process</w:t>
      </w:r>
      <w:r w:rsidR="0067113A">
        <w:t xml:space="preserve"> (despite the government attempting to reduce the environmental and health risks associated with large-scale mining operations)</w:t>
      </w:r>
      <w:bookmarkStart w:id="0" w:name="_GoBack"/>
      <w:bookmarkEnd w:id="0"/>
      <w:r w:rsidR="0067113A">
        <w:t xml:space="preserve">. </w:t>
      </w:r>
      <w:r w:rsidR="000C5572">
        <w:t>Some areas that are seeing impact from the large-scale mining operation are the land and water, the air from natural gas use, animals,</w:t>
      </w:r>
      <w:r w:rsidR="00AA34A2">
        <w:t xml:space="preserve"> and tailing ponds. </w:t>
      </w:r>
    </w:p>
    <w:sectPr w:rsidR="000804EA" w:rsidRPr="00E02226" w:rsidSect="0042108C">
      <w:type w:val="continuous"/>
      <w:pgSz w:w="12240" w:h="15840"/>
      <w:pgMar w:top="1440" w:right="1440" w:bottom="1440" w:left="1440" w:header="708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9E1B6" w14:textId="77777777" w:rsidR="005C5FA0" w:rsidRDefault="005C5FA0" w:rsidP="005C5FA0">
      <w:pPr>
        <w:spacing w:after="0" w:line="240" w:lineRule="auto"/>
      </w:pPr>
      <w:r>
        <w:separator/>
      </w:r>
    </w:p>
  </w:endnote>
  <w:endnote w:type="continuationSeparator" w:id="0">
    <w:p w14:paraId="47B36E7F" w14:textId="77777777" w:rsidR="005C5FA0" w:rsidRDefault="005C5FA0" w:rsidP="005C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51EC7" w14:textId="77777777" w:rsidR="005C5FA0" w:rsidRPr="005C5FA0" w:rsidRDefault="005C5FA0" w:rsidP="005C5FA0">
    <w:pPr>
      <w:tabs>
        <w:tab w:val="left" w:pos="975"/>
      </w:tabs>
      <w:rPr>
        <w:sz w:val="16"/>
        <w:szCs w:val="16"/>
      </w:rPr>
    </w:pPr>
    <w:r w:rsidRPr="005C5FA0">
      <w:rPr>
        <w:sz w:val="16"/>
        <w:szCs w:val="16"/>
      </w:rPr>
      <w:t>Fig 1: http://oilsands.alberta.ca/images/Alberta_Map_Showing_Oil_Sands_Regions.jpg</w:t>
    </w:r>
  </w:p>
  <w:p w14:paraId="38BA6FAA" w14:textId="77777777" w:rsidR="005C5FA0" w:rsidRPr="005C5FA0" w:rsidRDefault="005C5FA0" w:rsidP="005C5FA0">
    <w:pPr>
      <w:tabs>
        <w:tab w:val="left" w:pos="975"/>
      </w:tabs>
      <w:rPr>
        <w:sz w:val="16"/>
        <w:szCs w:val="16"/>
      </w:rPr>
    </w:pPr>
    <w:r w:rsidRPr="005C5FA0">
      <w:rPr>
        <w:sz w:val="16"/>
        <w:szCs w:val="16"/>
      </w:rPr>
      <w:t xml:space="preserve">Fig 2: http://pgc.lyellcollection.org/content/7/1141/F4.large.jpg </w:t>
    </w:r>
  </w:p>
  <w:p w14:paraId="08506427" w14:textId="56D63431" w:rsidR="005C5FA0" w:rsidRPr="005C5FA0" w:rsidRDefault="005C5FA0" w:rsidP="005C5FA0">
    <w:pPr>
      <w:tabs>
        <w:tab w:val="left" w:pos="975"/>
      </w:tabs>
      <w:rPr>
        <w:sz w:val="16"/>
        <w:szCs w:val="16"/>
      </w:rPr>
    </w:pPr>
    <w:r w:rsidRPr="005C5FA0">
      <w:rPr>
        <w:sz w:val="16"/>
        <w:szCs w:val="16"/>
      </w:rPr>
      <w:t xml:space="preserve">Information gathered: </w:t>
    </w:r>
    <w:r w:rsidRPr="005C5FA0">
      <w:rPr>
        <w:sz w:val="16"/>
        <w:szCs w:val="16"/>
      </w:rPr>
      <w:t>https://en.wikipedia.org/wiki/Athabasca_oil_sands</w:t>
    </w:r>
    <w:r>
      <w:rPr>
        <w:sz w:val="16"/>
        <w:szCs w:val="16"/>
      </w:rPr>
      <w:t xml:space="preserve">, </w:t>
    </w:r>
    <w:r w:rsidRPr="005C5FA0">
      <w:rPr>
        <w:sz w:val="16"/>
        <w:szCs w:val="16"/>
      </w:rPr>
      <w:t>http://globalnews.ca/news/66591/pros-and-cons-alberta-oil-sands/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3FE8A" w14:textId="77777777" w:rsidR="005C5FA0" w:rsidRDefault="005C5FA0" w:rsidP="005C5FA0">
      <w:pPr>
        <w:spacing w:after="0" w:line="240" w:lineRule="auto"/>
      </w:pPr>
      <w:r>
        <w:separator/>
      </w:r>
    </w:p>
  </w:footnote>
  <w:footnote w:type="continuationSeparator" w:id="0">
    <w:p w14:paraId="0C10C0A3" w14:textId="77777777" w:rsidR="005C5FA0" w:rsidRDefault="005C5FA0" w:rsidP="005C5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ED"/>
    <w:rsid w:val="000804EA"/>
    <w:rsid w:val="000912FE"/>
    <w:rsid w:val="000A1616"/>
    <w:rsid w:val="000C5572"/>
    <w:rsid w:val="00197A94"/>
    <w:rsid w:val="001A1B40"/>
    <w:rsid w:val="00203E05"/>
    <w:rsid w:val="002E3815"/>
    <w:rsid w:val="003949FB"/>
    <w:rsid w:val="00420E61"/>
    <w:rsid w:val="0042108C"/>
    <w:rsid w:val="004210D7"/>
    <w:rsid w:val="00430F92"/>
    <w:rsid w:val="00454EA4"/>
    <w:rsid w:val="004943C3"/>
    <w:rsid w:val="004C659D"/>
    <w:rsid w:val="004C6E40"/>
    <w:rsid w:val="0051177A"/>
    <w:rsid w:val="00515ABB"/>
    <w:rsid w:val="005B1192"/>
    <w:rsid w:val="005C5FA0"/>
    <w:rsid w:val="0067113A"/>
    <w:rsid w:val="006807B3"/>
    <w:rsid w:val="006A2531"/>
    <w:rsid w:val="006E1635"/>
    <w:rsid w:val="00713577"/>
    <w:rsid w:val="007A0C33"/>
    <w:rsid w:val="007A6683"/>
    <w:rsid w:val="007F6C9F"/>
    <w:rsid w:val="00826653"/>
    <w:rsid w:val="0082712B"/>
    <w:rsid w:val="00991CB3"/>
    <w:rsid w:val="009D1CA7"/>
    <w:rsid w:val="009E4634"/>
    <w:rsid w:val="00A92AD6"/>
    <w:rsid w:val="00A931AD"/>
    <w:rsid w:val="00A95CA3"/>
    <w:rsid w:val="00AA34A2"/>
    <w:rsid w:val="00AA7012"/>
    <w:rsid w:val="00AC2B49"/>
    <w:rsid w:val="00AF4D54"/>
    <w:rsid w:val="00B2257A"/>
    <w:rsid w:val="00B35B11"/>
    <w:rsid w:val="00B85B79"/>
    <w:rsid w:val="00BF3BC6"/>
    <w:rsid w:val="00CF7605"/>
    <w:rsid w:val="00D8030B"/>
    <w:rsid w:val="00D82DF6"/>
    <w:rsid w:val="00DF7F88"/>
    <w:rsid w:val="00E02226"/>
    <w:rsid w:val="00E853AE"/>
    <w:rsid w:val="00E859AF"/>
    <w:rsid w:val="00EF56FD"/>
    <w:rsid w:val="00F340ED"/>
    <w:rsid w:val="00F51C44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D8C42"/>
  <w15:chartTrackingRefBased/>
  <w15:docId w15:val="{30FDA0DC-D37E-4124-815D-E95793B4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0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FA0"/>
  </w:style>
  <w:style w:type="paragraph" w:styleId="Footer">
    <w:name w:val="footer"/>
    <w:basedOn w:val="Normal"/>
    <w:link w:val="FooterChar"/>
    <w:uiPriority w:val="99"/>
    <w:unhideWhenUsed/>
    <w:rsid w:val="005C5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A0"/>
  </w:style>
  <w:style w:type="paragraph" w:styleId="EndnoteText">
    <w:name w:val="endnote text"/>
    <w:basedOn w:val="Normal"/>
    <w:link w:val="EndnoteTextChar"/>
    <w:uiPriority w:val="99"/>
    <w:semiHidden/>
    <w:unhideWhenUsed/>
    <w:rsid w:val="00AA70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0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70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0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0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7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468C7-9D95-4A9A-BF71-E7800787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Gartshore</dc:creator>
  <cp:keywords/>
  <dc:description/>
  <cp:lastModifiedBy>Stephen Gartshore</cp:lastModifiedBy>
  <cp:revision>54</cp:revision>
  <dcterms:created xsi:type="dcterms:W3CDTF">2016-03-09T15:25:00Z</dcterms:created>
  <dcterms:modified xsi:type="dcterms:W3CDTF">2016-03-09T16:29:00Z</dcterms:modified>
</cp:coreProperties>
</file>